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E97B" w14:textId="6067897C" w:rsidR="002C2C3C" w:rsidRPr="00E459C0" w:rsidRDefault="00BC6A4E" w:rsidP="002C2C3C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105070509"/>
      <w:r>
        <w:rPr>
          <w:rFonts w:ascii="Arial Black" w:hAnsi="Arial Black"/>
          <w:color w:val="E9041E"/>
          <w:sz w:val="50"/>
          <w:szCs w:val="50"/>
        </w:rPr>
        <w:t>„</w:t>
      </w:r>
      <w:r w:rsidR="001B1672">
        <w:rPr>
          <w:rFonts w:ascii="Arial Black" w:hAnsi="Arial Black"/>
          <w:color w:val="E9041E"/>
          <w:sz w:val="50"/>
          <w:szCs w:val="50"/>
        </w:rPr>
        <w:t xml:space="preserve">Zadělejte </w:t>
      </w:r>
      <w:r w:rsidR="008B17DB">
        <w:rPr>
          <w:rFonts w:ascii="Arial Black" w:hAnsi="Arial Black"/>
          <w:color w:val="E9041E"/>
          <w:sz w:val="50"/>
          <w:szCs w:val="50"/>
        </w:rPr>
        <w:t>dětem</w:t>
      </w:r>
      <w:r w:rsidR="001B1672">
        <w:rPr>
          <w:rFonts w:ascii="Arial Black" w:hAnsi="Arial Black"/>
          <w:color w:val="E9041E"/>
          <w:sz w:val="50"/>
          <w:szCs w:val="50"/>
        </w:rPr>
        <w:t xml:space="preserve"> na budoucnost co nejdřív</w:t>
      </w:r>
      <w:r>
        <w:rPr>
          <w:rFonts w:ascii="Arial Black" w:hAnsi="Arial Black"/>
          <w:color w:val="E9041E"/>
          <w:sz w:val="50"/>
          <w:szCs w:val="50"/>
        </w:rPr>
        <w:t xml:space="preserve">“ </w:t>
      </w:r>
      <w:r w:rsidR="009C5384">
        <w:rPr>
          <w:rFonts w:ascii="Arial Black" w:hAnsi="Arial Black"/>
          <w:color w:val="E9041E"/>
          <w:sz w:val="50"/>
          <w:szCs w:val="50"/>
        </w:rPr>
        <w:t>doporučuje</w:t>
      </w:r>
      <w:r>
        <w:rPr>
          <w:rFonts w:ascii="Arial Black" w:hAnsi="Arial Black"/>
          <w:color w:val="E9041E"/>
          <w:sz w:val="50"/>
          <w:szCs w:val="50"/>
        </w:rPr>
        <w:t xml:space="preserve"> rodič</w:t>
      </w:r>
      <w:r w:rsidR="009C5384">
        <w:rPr>
          <w:rFonts w:ascii="Arial Black" w:hAnsi="Arial Black"/>
          <w:color w:val="E9041E"/>
          <w:sz w:val="50"/>
          <w:szCs w:val="50"/>
        </w:rPr>
        <w:t>ům</w:t>
      </w:r>
      <w:r>
        <w:rPr>
          <w:rFonts w:ascii="Arial Black" w:hAnsi="Arial Black"/>
          <w:color w:val="E9041E"/>
          <w:sz w:val="50"/>
          <w:szCs w:val="50"/>
        </w:rPr>
        <w:t xml:space="preserve"> </w:t>
      </w:r>
      <w:r w:rsidR="001D7FCB">
        <w:rPr>
          <w:rFonts w:ascii="Arial Black" w:hAnsi="Arial Black"/>
          <w:color w:val="E9041E"/>
          <w:sz w:val="50"/>
          <w:szCs w:val="50"/>
        </w:rPr>
        <w:t>KB Penzijní společnost</w:t>
      </w:r>
      <w:r w:rsidR="001B1672">
        <w:rPr>
          <w:rFonts w:ascii="Arial Black" w:hAnsi="Arial Black"/>
          <w:color w:val="E9041E"/>
          <w:sz w:val="50"/>
          <w:szCs w:val="50"/>
        </w:rPr>
        <w:t xml:space="preserve">. </w:t>
      </w:r>
      <w:r>
        <w:rPr>
          <w:rFonts w:ascii="Arial Black" w:hAnsi="Arial Black"/>
          <w:color w:val="E9041E"/>
          <w:sz w:val="50"/>
          <w:szCs w:val="50"/>
        </w:rPr>
        <w:t xml:space="preserve">A motivuje je </w:t>
      </w:r>
      <w:r w:rsidR="001B1672">
        <w:rPr>
          <w:rFonts w:ascii="Arial Black" w:hAnsi="Arial Black"/>
          <w:color w:val="E9041E"/>
          <w:sz w:val="50"/>
          <w:szCs w:val="50"/>
        </w:rPr>
        <w:t>bonusem 1</w:t>
      </w:r>
      <w:r w:rsidR="001D7FCB">
        <w:rPr>
          <w:rFonts w:ascii="Arial Black" w:hAnsi="Arial Black"/>
          <w:color w:val="E9041E"/>
          <w:sz w:val="50"/>
          <w:szCs w:val="50"/>
        </w:rPr>
        <w:t xml:space="preserve"> </w:t>
      </w:r>
      <w:r w:rsidR="001B1672">
        <w:rPr>
          <w:rFonts w:ascii="Arial Black" w:hAnsi="Arial Black"/>
          <w:color w:val="E9041E"/>
          <w:sz w:val="50"/>
          <w:szCs w:val="50"/>
        </w:rPr>
        <w:t>000 Kč</w:t>
      </w:r>
    </w:p>
    <w:p w14:paraId="6942CC1A" w14:textId="0317CA17" w:rsidR="002C2C3C" w:rsidRPr="00766C5E" w:rsidRDefault="002C2C3C" w:rsidP="002C2C3C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7412F5" wp14:editId="5907FCA5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>
              <v:group id="Skupina 4" style="position:absolute;margin-left:-39.05pt;margin-top:-.15pt;width:169.85pt;height:15.7pt;z-index:251659264;mso-height-relative:margin" coordsize="21570,1993" o:spid="_x0000_s1026" w14:anchorId="20317A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style="position:absolute;width:21570;height:6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/>
                <v:rect id="Obdélník 2" style="position:absolute;top:666;width:21570;height:642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<v:rect id="Obdélník 3" style="position:absolute;top:1352;width:21570;height:641;visibility:visible;mso-wrap-style:square;v-text-anchor:middle" o:spid="_x0000_s1029" fillcolor="#e9041e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</w:t>
      </w:r>
      <w:r w:rsidR="00A43440">
        <w:rPr>
          <w:rFonts w:ascii="Calibri" w:hAnsi="Calibri" w:cs="Calibri"/>
          <w:sz w:val="30"/>
          <w:szCs w:val="30"/>
        </w:rPr>
        <w:t>r</w:t>
      </w:r>
      <w:r>
        <w:rPr>
          <w:rFonts w:ascii="Calibri" w:hAnsi="Calibri" w:cs="Calibri"/>
          <w:sz w:val="30"/>
          <w:szCs w:val="30"/>
        </w:rPr>
        <w:t xml:space="preserve">aha </w:t>
      </w:r>
      <w:r w:rsidR="00041204">
        <w:rPr>
          <w:rFonts w:ascii="Calibri" w:hAnsi="Calibri" w:cs="Calibri"/>
          <w:sz w:val="30"/>
          <w:szCs w:val="30"/>
        </w:rPr>
        <w:t>19</w:t>
      </w:r>
      <w:r>
        <w:rPr>
          <w:rFonts w:ascii="Calibri" w:hAnsi="Calibri" w:cs="Calibri"/>
          <w:sz w:val="30"/>
          <w:szCs w:val="30"/>
        </w:rPr>
        <w:t xml:space="preserve">. </w:t>
      </w:r>
      <w:r w:rsidR="001D7FCB">
        <w:rPr>
          <w:rFonts w:ascii="Calibri" w:hAnsi="Calibri" w:cs="Calibri"/>
          <w:sz w:val="30"/>
          <w:szCs w:val="30"/>
        </w:rPr>
        <w:t>7</w:t>
      </w:r>
      <w:r>
        <w:rPr>
          <w:rFonts w:ascii="Calibri" w:hAnsi="Calibri" w:cs="Calibri"/>
          <w:sz w:val="30"/>
          <w:szCs w:val="30"/>
        </w:rPr>
        <w:t>. 2022</w:t>
      </w:r>
    </w:p>
    <w:p w14:paraId="30BAD4B4" w14:textId="1EF9D867" w:rsidR="00B94219" w:rsidRDefault="001D7FCB" w:rsidP="002C2C3C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KB Penzijní společnost</w:t>
      </w:r>
      <w:r w:rsidR="00A43440">
        <w:rPr>
          <w:rFonts w:cstheme="minorHAnsi"/>
          <w:b/>
          <w:bCs/>
          <w:sz w:val="24"/>
          <w:szCs w:val="24"/>
        </w:rPr>
        <w:t xml:space="preserve"> při</w:t>
      </w:r>
      <w:r w:rsidR="0061684B">
        <w:rPr>
          <w:rFonts w:cstheme="minorHAnsi"/>
          <w:b/>
          <w:bCs/>
          <w:sz w:val="24"/>
          <w:szCs w:val="24"/>
        </w:rPr>
        <w:t>pomíná</w:t>
      </w:r>
      <w:r w:rsidR="00A43440">
        <w:rPr>
          <w:rFonts w:cstheme="minorHAnsi"/>
          <w:b/>
          <w:bCs/>
          <w:sz w:val="24"/>
          <w:szCs w:val="24"/>
        </w:rPr>
        <w:t xml:space="preserve"> </w:t>
      </w:r>
      <w:r w:rsidR="00443433">
        <w:rPr>
          <w:rFonts w:cstheme="minorHAnsi"/>
          <w:b/>
          <w:bCs/>
          <w:sz w:val="24"/>
          <w:szCs w:val="24"/>
        </w:rPr>
        <w:t xml:space="preserve">v aktuální marketingové kampani </w:t>
      </w:r>
      <w:r w:rsidR="00A43440" w:rsidRPr="001D7FCB">
        <w:rPr>
          <w:rFonts w:cstheme="minorHAnsi"/>
          <w:b/>
          <w:bCs/>
          <w:sz w:val="24"/>
          <w:szCs w:val="24"/>
        </w:rPr>
        <w:t>novým</w:t>
      </w:r>
      <w:r w:rsidR="00A43440">
        <w:rPr>
          <w:rFonts w:cstheme="minorHAnsi"/>
          <w:b/>
          <w:bCs/>
          <w:sz w:val="24"/>
          <w:szCs w:val="24"/>
        </w:rPr>
        <w:t xml:space="preserve"> klientům</w:t>
      </w:r>
      <w:r w:rsidR="00BD29D5">
        <w:rPr>
          <w:rFonts w:cstheme="minorHAnsi"/>
          <w:b/>
          <w:bCs/>
          <w:sz w:val="24"/>
          <w:szCs w:val="24"/>
        </w:rPr>
        <w:t>, kteří z</w:t>
      </w:r>
      <w:r w:rsidR="0061684B">
        <w:rPr>
          <w:rFonts w:cstheme="minorHAnsi"/>
          <w:b/>
          <w:bCs/>
          <w:sz w:val="24"/>
          <w:szCs w:val="24"/>
        </w:rPr>
        <w:t>aloží</w:t>
      </w:r>
      <w:r w:rsidR="005544E8">
        <w:rPr>
          <w:rFonts w:cstheme="minorHAnsi"/>
          <w:b/>
          <w:bCs/>
          <w:sz w:val="24"/>
          <w:szCs w:val="24"/>
        </w:rPr>
        <w:t xml:space="preserve"> dětské</w:t>
      </w:r>
      <w:r w:rsidR="00BD29D5">
        <w:rPr>
          <w:rFonts w:cstheme="minorHAnsi"/>
          <w:b/>
          <w:bCs/>
          <w:sz w:val="24"/>
          <w:szCs w:val="24"/>
        </w:rPr>
        <w:t xml:space="preserve"> </w:t>
      </w:r>
      <w:r w:rsidR="00A43440">
        <w:rPr>
          <w:rFonts w:cstheme="minorHAnsi"/>
          <w:b/>
          <w:bCs/>
          <w:sz w:val="24"/>
          <w:szCs w:val="24"/>
        </w:rPr>
        <w:t>Doplňkové penzijní</w:t>
      </w:r>
      <w:r w:rsidR="005544E8">
        <w:rPr>
          <w:rFonts w:cstheme="minorHAnsi"/>
          <w:b/>
          <w:bCs/>
          <w:sz w:val="24"/>
          <w:szCs w:val="24"/>
        </w:rPr>
        <w:t xml:space="preserve"> spoření</w:t>
      </w:r>
      <w:r w:rsidR="0061684B">
        <w:rPr>
          <w:rFonts w:cstheme="minorHAnsi"/>
          <w:b/>
          <w:bCs/>
          <w:sz w:val="24"/>
          <w:szCs w:val="24"/>
        </w:rPr>
        <w:t xml:space="preserve">, možnost </w:t>
      </w:r>
      <w:r w:rsidR="00443433">
        <w:rPr>
          <w:rFonts w:cstheme="minorHAnsi"/>
          <w:b/>
          <w:bCs/>
          <w:sz w:val="24"/>
          <w:szCs w:val="24"/>
        </w:rPr>
        <w:t>obdržet</w:t>
      </w:r>
      <w:r w:rsidR="0061684B">
        <w:rPr>
          <w:rFonts w:cstheme="minorHAnsi"/>
          <w:b/>
          <w:bCs/>
          <w:sz w:val="24"/>
          <w:szCs w:val="24"/>
        </w:rPr>
        <w:t xml:space="preserve"> akční bonus</w:t>
      </w:r>
      <w:r w:rsidR="00A43440">
        <w:rPr>
          <w:rFonts w:cstheme="minorHAnsi"/>
          <w:b/>
          <w:bCs/>
          <w:sz w:val="24"/>
          <w:szCs w:val="24"/>
        </w:rPr>
        <w:t xml:space="preserve"> 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43440">
        <w:rPr>
          <w:rFonts w:cstheme="minorHAnsi"/>
          <w:b/>
          <w:bCs/>
          <w:sz w:val="24"/>
          <w:szCs w:val="24"/>
        </w:rPr>
        <w:t xml:space="preserve">000 </w:t>
      </w:r>
      <w:r w:rsidR="0061684B">
        <w:rPr>
          <w:rFonts w:cstheme="minorHAnsi"/>
          <w:b/>
          <w:bCs/>
          <w:sz w:val="24"/>
          <w:szCs w:val="24"/>
        </w:rPr>
        <w:t>korun</w:t>
      </w:r>
      <w:r w:rsidR="00A43440">
        <w:rPr>
          <w:rFonts w:cstheme="minorHAnsi"/>
          <w:b/>
          <w:bCs/>
          <w:sz w:val="24"/>
          <w:szCs w:val="24"/>
        </w:rPr>
        <w:t xml:space="preserve">. Tento bonus </w:t>
      </w:r>
      <w:r w:rsidR="008B17DB">
        <w:rPr>
          <w:rFonts w:cstheme="minorHAnsi"/>
          <w:b/>
          <w:bCs/>
          <w:sz w:val="24"/>
          <w:szCs w:val="24"/>
        </w:rPr>
        <w:t>lze</w:t>
      </w:r>
      <w:r w:rsidR="00A43440">
        <w:rPr>
          <w:rFonts w:cstheme="minorHAnsi"/>
          <w:b/>
          <w:bCs/>
          <w:sz w:val="24"/>
          <w:szCs w:val="24"/>
        </w:rPr>
        <w:t xml:space="preserve"> </w:t>
      </w:r>
      <w:r w:rsidR="005544E8">
        <w:rPr>
          <w:rFonts w:cstheme="minorHAnsi"/>
          <w:b/>
          <w:bCs/>
          <w:sz w:val="24"/>
          <w:szCs w:val="24"/>
        </w:rPr>
        <w:t xml:space="preserve">získat až </w:t>
      </w:r>
      <w:r w:rsidR="00ED4171">
        <w:rPr>
          <w:rFonts w:cstheme="minorHAnsi"/>
          <w:b/>
          <w:bCs/>
          <w:sz w:val="24"/>
          <w:szCs w:val="24"/>
        </w:rPr>
        <w:t xml:space="preserve">do konce </w:t>
      </w:r>
      <w:r w:rsidR="00A43440">
        <w:rPr>
          <w:rFonts w:cstheme="minorHAnsi"/>
          <w:b/>
          <w:bCs/>
          <w:sz w:val="24"/>
          <w:szCs w:val="24"/>
        </w:rPr>
        <w:t>letošního roku</w:t>
      </w:r>
      <w:r w:rsidR="00A7183F" w:rsidRPr="00A7183F">
        <w:rPr>
          <w:rFonts w:cstheme="minorHAnsi"/>
          <w:b/>
          <w:bCs/>
          <w:sz w:val="24"/>
          <w:szCs w:val="24"/>
        </w:rPr>
        <w:t xml:space="preserve"> </w:t>
      </w:r>
      <w:r w:rsidR="00A7183F">
        <w:rPr>
          <w:rFonts w:cstheme="minorHAnsi"/>
          <w:b/>
          <w:bCs/>
          <w:sz w:val="24"/>
          <w:szCs w:val="24"/>
        </w:rPr>
        <w:t>při minimálním měsíčním příspěvku 500 korun</w:t>
      </w:r>
      <w:r w:rsidR="00A43440">
        <w:rPr>
          <w:rFonts w:cstheme="minorHAnsi"/>
          <w:b/>
          <w:bCs/>
          <w:sz w:val="24"/>
          <w:szCs w:val="24"/>
        </w:rPr>
        <w:t xml:space="preserve">. Přispívat </w:t>
      </w:r>
      <w:r w:rsidR="008B17DB">
        <w:rPr>
          <w:rFonts w:cstheme="minorHAnsi"/>
          <w:b/>
          <w:bCs/>
          <w:sz w:val="24"/>
          <w:szCs w:val="24"/>
        </w:rPr>
        <w:t>dětem na penzijní spoření m</w:t>
      </w:r>
      <w:r w:rsidR="00B94219">
        <w:rPr>
          <w:rFonts w:cstheme="minorHAnsi"/>
          <w:b/>
          <w:bCs/>
          <w:sz w:val="24"/>
          <w:szCs w:val="24"/>
        </w:rPr>
        <w:t>ůže kdokoliv z rodiny a výši příspěvku je možn</w:t>
      </w:r>
      <w:r w:rsidR="00E13870">
        <w:rPr>
          <w:rFonts w:cstheme="minorHAnsi"/>
          <w:b/>
          <w:bCs/>
          <w:sz w:val="24"/>
          <w:szCs w:val="24"/>
        </w:rPr>
        <w:t>é</w:t>
      </w:r>
      <w:r w:rsidR="00B94219">
        <w:rPr>
          <w:rFonts w:cstheme="minorHAnsi"/>
          <w:b/>
          <w:bCs/>
          <w:sz w:val="24"/>
          <w:szCs w:val="24"/>
        </w:rPr>
        <w:t xml:space="preserve"> libovolně měnit.</w:t>
      </w:r>
      <w:r w:rsidR="00827B10">
        <w:rPr>
          <w:rFonts w:cstheme="minorHAnsi"/>
          <w:b/>
          <w:bCs/>
          <w:sz w:val="24"/>
          <w:szCs w:val="24"/>
        </w:rPr>
        <w:t xml:space="preserve"> </w:t>
      </w:r>
    </w:p>
    <w:p w14:paraId="5FC66C8B" w14:textId="7ED99936" w:rsidR="00E05E80" w:rsidRDefault="008A5E22" w:rsidP="00E05E80">
      <w:pPr>
        <w:spacing w:before="200" w:after="0" w:line="260" w:lineRule="exact"/>
        <w:rPr>
          <w:rFonts w:cstheme="minorHAnsi"/>
        </w:rPr>
      </w:pPr>
      <w:r w:rsidRPr="00E05E80">
        <w:rPr>
          <w:rFonts w:cstheme="minorHAnsi"/>
        </w:rPr>
        <w:t>Češi jsou zvyklí svým potomkům pomoci při startu do života</w:t>
      </w:r>
      <w:r w:rsidR="008B17DB">
        <w:rPr>
          <w:rFonts w:cstheme="minorHAnsi"/>
        </w:rPr>
        <w:t>. N</w:t>
      </w:r>
      <w:r w:rsidRPr="00E05E80">
        <w:rPr>
          <w:rFonts w:cstheme="minorHAnsi"/>
        </w:rPr>
        <w:t xml:space="preserve">ěkteří spoří do slamníku, jiní </w:t>
      </w:r>
      <w:r w:rsidR="008568C5">
        <w:rPr>
          <w:rFonts w:cstheme="minorHAnsi"/>
        </w:rPr>
        <w:t xml:space="preserve">využívají spořicí účty. </w:t>
      </w:r>
      <w:r w:rsidRPr="00E05E80">
        <w:rPr>
          <w:rFonts w:cstheme="minorHAnsi"/>
        </w:rPr>
        <w:t xml:space="preserve">Ne všichni však vědí o možnosti uzavřít </w:t>
      </w:r>
      <w:hyperlink r:id="rId10" w:history="1">
        <w:r w:rsidRPr="00E13870">
          <w:rPr>
            <w:rStyle w:val="Hypertextovodkaz"/>
            <w:rFonts w:cstheme="minorHAnsi"/>
          </w:rPr>
          <w:t>dětské Doplňkové penzijní spoření</w:t>
        </w:r>
      </w:hyperlink>
      <w:r w:rsidRPr="00E05E80">
        <w:rPr>
          <w:rFonts w:cstheme="minorHAnsi"/>
        </w:rPr>
        <w:t xml:space="preserve"> prakticky </w:t>
      </w:r>
      <w:r w:rsidR="00462932">
        <w:rPr>
          <w:rFonts w:cstheme="minorHAnsi"/>
        </w:rPr>
        <w:t>i</w:t>
      </w:r>
      <w:r w:rsidRPr="00E05E80">
        <w:rPr>
          <w:rFonts w:cstheme="minorHAnsi"/>
        </w:rPr>
        <w:t>hned po narození</w:t>
      </w:r>
      <w:r w:rsidR="008568C5">
        <w:rPr>
          <w:rFonts w:cstheme="minorHAnsi"/>
        </w:rPr>
        <w:t xml:space="preserve"> dítěte</w:t>
      </w:r>
      <w:r w:rsidR="00E05E80" w:rsidRPr="00E05E80">
        <w:rPr>
          <w:rFonts w:cstheme="minorHAnsi"/>
        </w:rPr>
        <w:t>.</w:t>
      </w:r>
      <w:r w:rsidR="00E05E80">
        <w:rPr>
          <w:rFonts w:cstheme="minorHAnsi"/>
        </w:rPr>
        <w:t xml:space="preserve"> </w:t>
      </w:r>
      <w:r w:rsidR="00E05E80">
        <w:rPr>
          <w:rFonts w:cstheme="minorHAnsi"/>
          <w:i/>
        </w:rPr>
        <w:t>„Pokud začneme dětem ukládat od narození 1 000 korun měsíčně, mohou mít v 18 letech již stovky</w:t>
      </w:r>
      <w:r w:rsidR="00E05E80" w:rsidRPr="00832C49">
        <w:rPr>
          <w:rFonts w:cstheme="minorHAnsi"/>
          <w:i/>
        </w:rPr>
        <w:t xml:space="preserve"> tisíc</w:t>
      </w:r>
      <w:r w:rsidR="00E05E80">
        <w:rPr>
          <w:rFonts w:cstheme="minorHAnsi"/>
          <w:i/>
        </w:rPr>
        <w:t xml:space="preserve"> korun. Třetinu vlastních příspěvků si přitom v 18 letech mohou vybrat a použít ji třeba na bydlení, školné nebo jazykový kurz</w:t>
      </w:r>
      <w:r w:rsidR="00E05E80" w:rsidRPr="00B30798">
        <w:rPr>
          <w:rFonts w:cstheme="minorHAnsi"/>
          <w:i/>
        </w:rPr>
        <w:t>,“</w:t>
      </w:r>
      <w:r w:rsidR="00E05E80" w:rsidRPr="00B30798">
        <w:rPr>
          <w:rFonts w:cstheme="minorHAnsi"/>
        </w:rPr>
        <w:t xml:space="preserve"> vysvětluje </w:t>
      </w:r>
      <w:r w:rsidR="00E05E80" w:rsidRPr="00623F11">
        <w:rPr>
          <w:rFonts w:cstheme="minorHAnsi"/>
        </w:rPr>
        <w:t>Vladimír Jeřábek, výkonný ředitel KB Penzijní společnosti.</w:t>
      </w:r>
      <w:r w:rsidR="00E05E80">
        <w:rPr>
          <w:rFonts w:cstheme="minorHAnsi"/>
        </w:rPr>
        <w:t xml:space="preserve"> Právě dlouhodobost této investice je její hlavní výhodou, </w:t>
      </w:r>
      <w:r w:rsidR="00BD29D5">
        <w:rPr>
          <w:rFonts w:cstheme="minorHAnsi"/>
        </w:rPr>
        <w:t xml:space="preserve">kdy po </w:t>
      </w:r>
      <w:r w:rsidR="00E05E80">
        <w:rPr>
          <w:rFonts w:cstheme="minorHAnsi"/>
        </w:rPr>
        <w:t>malých částkách je možn</w:t>
      </w:r>
      <w:r w:rsidR="00BD29D5">
        <w:rPr>
          <w:rFonts w:cstheme="minorHAnsi"/>
        </w:rPr>
        <w:t>é</w:t>
      </w:r>
      <w:r w:rsidR="00E05E80">
        <w:rPr>
          <w:rFonts w:cstheme="minorHAnsi"/>
        </w:rPr>
        <w:t xml:space="preserve"> naspořit do plnoletosti potomka několik set tisíc korun</w:t>
      </w:r>
      <w:r w:rsidR="001A78AC">
        <w:rPr>
          <w:rFonts w:cstheme="minorHAnsi"/>
        </w:rPr>
        <w:t xml:space="preserve"> dle zvolené strategie spoření.</w:t>
      </w:r>
      <w:r w:rsidR="00ED4171">
        <w:rPr>
          <w:rFonts w:cstheme="minorHAnsi"/>
        </w:rPr>
        <w:t xml:space="preserve"> </w:t>
      </w:r>
    </w:p>
    <w:p w14:paraId="2F135091" w14:textId="4491421B" w:rsidR="00050399" w:rsidRDefault="005544E8" w:rsidP="00E05E80">
      <w:pPr>
        <w:spacing w:before="200" w:after="0" w:line="260" w:lineRule="exact"/>
        <w:rPr>
          <w:rFonts w:cstheme="minorHAnsi"/>
        </w:rPr>
      </w:pPr>
      <w:r w:rsidRPr="4CB22E70">
        <w:t xml:space="preserve">Z nedávného průzkumu </w:t>
      </w:r>
      <w:r w:rsidR="00650470" w:rsidRPr="4CB22E70">
        <w:t>KB Penzijní společnosti</w:t>
      </w:r>
      <w:r w:rsidRPr="4CB22E70">
        <w:t xml:space="preserve"> vzešlo, že lid</w:t>
      </w:r>
      <w:r w:rsidR="00E559B5" w:rsidRPr="4CB22E70">
        <w:t>i</w:t>
      </w:r>
      <w:r w:rsidRPr="4CB22E70">
        <w:t xml:space="preserve"> motivuje především </w:t>
      </w:r>
      <w:r w:rsidRPr="001D0128">
        <w:t>získání</w:t>
      </w:r>
      <w:r w:rsidRPr="4CB22E70">
        <w:t xml:space="preserve"> státní podpory, </w:t>
      </w:r>
      <w:r w:rsidR="009C5384">
        <w:t>možnost většího</w:t>
      </w:r>
      <w:r w:rsidRPr="4CB22E70">
        <w:t xml:space="preserve"> zhodnocen</w:t>
      </w:r>
      <w:r w:rsidR="00711339" w:rsidRPr="4CB22E70">
        <w:t>í</w:t>
      </w:r>
      <w:r w:rsidRPr="4CB22E70">
        <w:t xml:space="preserve"> investice než na běžném účtu</w:t>
      </w:r>
      <w:r w:rsidR="00443433" w:rsidRPr="4CB22E70">
        <w:t>, možnost výběru jedné třetiny v průběhu spoření</w:t>
      </w:r>
      <w:r w:rsidRPr="4CB22E70">
        <w:t xml:space="preserve"> a to, že přispívat mohou </w:t>
      </w:r>
      <w:r w:rsidR="00711339" w:rsidRPr="4CB22E70">
        <w:t>třeba</w:t>
      </w:r>
      <w:r w:rsidR="00FF48DF" w:rsidRPr="4CB22E70">
        <w:t xml:space="preserve"> i</w:t>
      </w:r>
      <w:r w:rsidR="00711339" w:rsidRPr="4CB22E70">
        <w:t xml:space="preserve"> prarodiče. </w:t>
      </w:r>
      <w:hyperlink r:id="rId11" w:history="1">
        <w:r w:rsidR="00443433" w:rsidRPr="00E13870">
          <w:rPr>
            <w:rStyle w:val="Hypertextovodkaz"/>
          </w:rPr>
          <w:t>Dětské Doplňkové penzijní spoření</w:t>
        </w:r>
      </w:hyperlink>
      <w:r w:rsidR="00711339" w:rsidRPr="4CB22E70">
        <w:t xml:space="preserve"> tak může být skvělým dárkem vnoučátkům do kolébky, jehož hodnotu docení až půjd</w:t>
      </w:r>
      <w:r w:rsidR="002312B1" w:rsidRPr="4CB22E70">
        <w:t>ou</w:t>
      </w:r>
      <w:r w:rsidR="00711339" w:rsidRPr="4CB22E70">
        <w:t xml:space="preserve"> třeba studovat. </w:t>
      </w:r>
      <w:r w:rsidR="00DE3BBD">
        <w:br/>
      </w:r>
    </w:p>
    <w:bookmarkEnd w:id="0"/>
    <w:p w14:paraId="1A907EF3" w14:textId="71A2AEFA" w:rsidR="00F362AA" w:rsidRDefault="003C49D2" w:rsidP="006E3558">
      <w:pPr>
        <w:pStyle w:val="Zkladnodstavec"/>
        <w:tabs>
          <w:tab w:val="left" w:pos="4080"/>
        </w:tabs>
        <w:spacing w:line="240" w:lineRule="auto"/>
      </w:pPr>
      <w:r>
        <w:rPr>
          <w:noProof/>
        </w:rPr>
        <w:drawing>
          <wp:inline distT="0" distB="0" distL="0" distR="0" wp14:anchorId="148834A4" wp14:editId="18D41FE9">
            <wp:extent cx="6007735" cy="2417445"/>
            <wp:effectExtent l="0" t="0" r="12065" b="1905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8C245FAD-4E16-4464-91A5-4697D6E66B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D14669C" w14:textId="378D9D11" w:rsidR="00F362AA" w:rsidRPr="00BC6A4E" w:rsidRDefault="00F362AA" w:rsidP="00F362AA">
      <w:pPr>
        <w:spacing w:before="200" w:after="0" w:line="260" w:lineRule="exact"/>
      </w:pPr>
      <w:r w:rsidRPr="4CB22E70">
        <w:rPr>
          <w:i/>
          <w:iCs/>
        </w:rPr>
        <w:lastRenderedPageBreak/>
        <w:t>„Z našich interních dat vyplývá, že dětské penzijní spoření bývá nejčastěji uzavíráno do jednoho roku od narození dítěte,“</w:t>
      </w:r>
      <w:r w:rsidRPr="4CB22E70">
        <w:t xml:space="preserve"> prozrazuje Vladimír Jeřábek. Průměrný měsíční příspěvek dětského spoření u klientů KB</w:t>
      </w:r>
      <w:r w:rsidR="00293442">
        <w:t> </w:t>
      </w:r>
      <w:r w:rsidRPr="4CB22E70">
        <w:t xml:space="preserve">Penzijní společnosti činí 534 Kč, přičemž </w:t>
      </w:r>
      <w:r>
        <w:t xml:space="preserve">doposud </w:t>
      </w:r>
      <w:r w:rsidRPr="4CB22E70">
        <w:t xml:space="preserve">nejvyšší mimořádně uložená částka v roce 2022 </w:t>
      </w:r>
      <w:r>
        <w:t>je</w:t>
      </w:r>
      <w:r w:rsidRPr="4CB22E70">
        <w:t xml:space="preserve"> 550 tisíc Kč. </w:t>
      </w:r>
    </w:p>
    <w:p w14:paraId="02B147D7" w14:textId="77777777" w:rsidR="00F362AA" w:rsidRDefault="00F362AA" w:rsidP="00F362AA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t xml:space="preserve">KB Penzijní společnost nabízí bonus 1 000 Kč nejen k dětskému spoření, ale také k on-line sjednaným smlouvám penzijního spoření přes KB Mobilní banku, které budou uzavřeny do konce tohoto roku. </w:t>
      </w:r>
    </w:p>
    <w:p w14:paraId="08E81CA0" w14:textId="77777777" w:rsidR="00F362AA" w:rsidRDefault="00F362AA" w:rsidP="00F362AA">
      <w:pPr>
        <w:spacing w:before="200" w:after="0" w:line="260" w:lineRule="exact"/>
        <w:rPr>
          <w:rFonts w:cstheme="minorHAnsi"/>
        </w:rPr>
      </w:pPr>
    </w:p>
    <w:p w14:paraId="4B9EEC8F" w14:textId="77777777" w:rsidR="00F362AA" w:rsidRPr="00E36711" w:rsidRDefault="00F362AA" w:rsidP="00F362AA">
      <w:pPr>
        <w:spacing w:before="200" w:line="260" w:lineRule="exact"/>
        <w:jc w:val="both"/>
        <w:rPr>
          <w:iCs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49D21" wp14:editId="0ABCF1AE">
                <wp:simplePos x="0" y="0"/>
                <wp:positionH relativeFrom="column">
                  <wp:posOffset>-16510</wp:posOffset>
                </wp:positionH>
                <wp:positionV relativeFrom="paragraph">
                  <wp:posOffset>73660</wp:posOffset>
                </wp:positionV>
                <wp:extent cx="5842000" cy="1409700"/>
                <wp:effectExtent l="0" t="0" r="2540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1206" w14:textId="77777777" w:rsidR="00F362AA" w:rsidRDefault="00F362AA" w:rsidP="00F362AA">
                            <w:pPr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Výhody</w:t>
                            </w:r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 xml:space="preserve"> doplňkové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ho</w:t>
                            </w:r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hyperlink r:id="rId13" w:history="1">
                              <w:r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penzijní</w:t>
                              </w:r>
                              <w:r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 xml:space="preserve">ho </w:t>
                              </w:r>
                              <w:r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spoření</w:t>
                              </w:r>
                            </w:hyperlink>
                            <w:r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pro děti:</w:t>
                            </w:r>
                          </w:p>
                          <w:p w14:paraId="3A5C34D1" w14:textId="77777777" w:rsidR="00F362AA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AF23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státní příspěvek až 2 760 Kč ročně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14:paraId="7E62F815" w14:textId="77777777" w:rsidR="00F362AA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možnost výběru 1/3 vlastních příspěvků v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letech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a po 10 odspořených letech, </w:t>
                            </w:r>
                          </w:p>
                          <w:p w14:paraId="35D44CBE" w14:textId="77777777" w:rsidR="00F362AA" w:rsidRPr="00BE3D4B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 smlouvu může přispívat více osob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např. rodiče i prarodiče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,</w:t>
                            </w:r>
                          </w:p>
                          <w:p w14:paraId="2C90EC77" w14:textId="77777777" w:rsidR="00F362AA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výši příspěvku lze kdykoliv zdarma změnit,</w:t>
                            </w:r>
                          </w:p>
                          <w:p w14:paraId="4ECC6A18" w14:textId="77777777" w:rsidR="00F362AA" w:rsidRPr="00462932" w:rsidRDefault="00F362AA" w:rsidP="00F362A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HAnsi"/>
                                <w:iCs/>
                                <w:color w:val="000000" w:themeColor="text1"/>
                              </w:rPr>
                            </w:pPr>
                            <w:r w:rsidRPr="00462932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</w:rPr>
                              <w:t>jeden z nejlevnějších investičních produktů na trhu s možností měnit strategii spoření.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49D21" id="Obdélník 5" o:spid="_x0000_s1026" style="position:absolute;left:0;text-align:left;margin-left:-1.3pt;margin-top:5.8pt;width:460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" fillcolor="white [3212]" strokecolor="#1f3763 [1604]" strokeweight="1pt">
                <v:textbox>
                  <w:txbxContent>
                    <w:p w14:paraId="0D4C1206" w14:textId="77777777" w:rsidR="00F362AA" w:rsidRDefault="00F362AA" w:rsidP="00F362AA">
                      <w:pPr>
                        <w:rPr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</w:rPr>
                        <w:t>Výhody</w:t>
                      </w:r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 xml:space="preserve"> doplňkové</w:t>
                      </w:r>
                      <w:r>
                        <w:rPr>
                          <w:b/>
                          <w:iCs/>
                          <w:color w:val="000000" w:themeColor="text1"/>
                        </w:rPr>
                        <w:t>ho</w:t>
                      </w:r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hyperlink r:id="rId14" w:history="1">
                        <w:r w:rsidRPr="00404E3E">
                          <w:rPr>
                            <w:b/>
                            <w:iCs/>
                            <w:color w:val="000000" w:themeColor="text1"/>
                          </w:rPr>
                          <w:t>penzijní</w:t>
                        </w:r>
                        <w:r>
                          <w:rPr>
                            <w:b/>
                            <w:iCs/>
                            <w:color w:val="000000" w:themeColor="text1"/>
                          </w:rPr>
                          <w:t xml:space="preserve">ho </w:t>
                        </w:r>
                        <w:r w:rsidRPr="00404E3E">
                          <w:rPr>
                            <w:b/>
                            <w:iCs/>
                            <w:color w:val="000000" w:themeColor="text1"/>
                          </w:rPr>
                          <w:t>spoření</w:t>
                        </w:r>
                      </w:hyperlink>
                      <w:r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r>
                        <w:rPr>
                          <w:b/>
                          <w:iCs/>
                          <w:color w:val="000000" w:themeColor="text1"/>
                        </w:rPr>
                        <w:t>pro děti:</w:t>
                      </w:r>
                    </w:p>
                    <w:p w14:paraId="3A5C34D1" w14:textId="77777777" w:rsidR="00F362AA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AF23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státní příspěvek až 2 760 Kč ročně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, </w:t>
                      </w:r>
                    </w:p>
                    <w:p w14:paraId="7E62F815" w14:textId="77777777" w:rsidR="00F362AA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možnost výběru 1/3 vlastních příspěvků v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 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18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letech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a po 10 </w:t>
                      </w: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odspořených</w:t>
                      </w:r>
                      <w:proofErr w:type="spellEnd"/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letech, </w:t>
                      </w:r>
                    </w:p>
                    <w:p w14:paraId="35D44CBE" w14:textId="77777777" w:rsidR="00F362AA" w:rsidRPr="00BE3D4B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 smlouvu může přispívat více osob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, </w:t>
                      </w: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např. rodiče i prarodiče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,</w:t>
                      </w:r>
                    </w:p>
                    <w:p w14:paraId="2C90EC77" w14:textId="77777777" w:rsidR="00F362AA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výši příspěvku lze kdykoliv zdarma změnit,</w:t>
                      </w:r>
                    </w:p>
                    <w:p w14:paraId="4ECC6A18" w14:textId="77777777" w:rsidR="00F362AA" w:rsidRPr="00462932" w:rsidRDefault="00F362AA" w:rsidP="00F362A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HAnsi"/>
                          <w:iCs/>
                          <w:color w:val="000000" w:themeColor="text1"/>
                        </w:rPr>
                      </w:pPr>
                      <w:r w:rsidRPr="00462932">
                        <w:rPr>
                          <w:rFonts w:asciiTheme="minorHAnsi" w:hAnsiTheme="minorHAnsi" w:cstheme="minorHAnsi"/>
                          <w:iCs/>
                          <w:color w:val="000000" w:themeColor="text1"/>
                        </w:rPr>
                        <w:t>jeden z nejlevnějších investičních produktů na trhu s možností měnit strategii spoření.</w:t>
                      </w:r>
                    </w:p>
                  </w:txbxContent>
                </v:textbox>
              </v:rect>
            </w:pict>
          </mc:Fallback>
        </mc:AlternateContent>
      </w:r>
    </w:p>
    <w:p w14:paraId="2AE5F9E6" w14:textId="77777777" w:rsidR="00F362AA" w:rsidRPr="008A5E22" w:rsidRDefault="00F362AA" w:rsidP="00F362AA">
      <w:pPr>
        <w:spacing w:after="0" w:line="260" w:lineRule="exact"/>
        <w:rPr>
          <w:rFonts w:cstheme="minorHAnsi"/>
          <w:sz w:val="24"/>
          <w:szCs w:val="24"/>
        </w:rPr>
      </w:pPr>
    </w:p>
    <w:p w14:paraId="53B0BF20" w14:textId="77777777" w:rsidR="00F362AA" w:rsidRDefault="00F362AA" w:rsidP="00F362AA">
      <w:pPr>
        <w:spacing w:before="200" w:after="0" w:line="260" w:lineRule="exact"/>
        <w:rPr>
          <w:b/>
          <w:sz w:val="20"/>
        </w:rPr>
      </w:pPr>
    </w:p>
    <w:p w14:paraId="3EA10EE9" w14:textId="77777777" w:rsidR="00F362AA" w:rsidRDefault="00F362AA" w:rsidP="00F362AA">
      <w:pPr>
        <w:spacing w:before="200" w:after="0" w:line="260" w:lineRule="exact"/>
        <w:rPr>
          <w:b/>
          <w:sz w:val="20"/>
        </w:rPr>
      </w:pPr>
    </w:p>
    <w:p w14:paraId="43C5C3C8" w14:textId="77777777" w:rsidR="00F362AA" w:rsidRDefault="00F362AA" w:rsidP="00F362AA">
      <w:pPr>
        <w:spacing w:before="200" w:after="0" w:line="260" w:lineRule="exact"/>
        <w:rPr>
          <w:b/>
          <w:sz w:val="20"/>
        </w:rPr>
      </w:pPr>
    </w:p>
    <w:p w14:paraId="07A74F5E" w14:textId="0A02903C" w:rsidR="00F362AA" w:rsidRPr="00931D06" w:rsidRDefault="00F362AA" w:rsidP="00F362AA">
      <w:pPr>
        <w:spacing w:before="200" w:after="0" w:line="260" w:lineRule="exact"/>
        <w:rPr>
          <w:bCs/>
          <w:szCs w:val="24"/>
        </w:rPr>
      </w:pPr>
      <w:r w:rsidRPr="00931D06">
        <w:rPr>
          <w:bCs/>
          <w:szCs w:val="24"/>
        </w:rPr>
        <w:t xml:space="preserve">Informace o </w:t>
      </w:r>
      <w:r>
        <w:rPr>
          <w:bCs/>
          <w:szCs w:val="24"/>
        </w:rPr>
        <w:t>probíhající akci</w:t>
      </w:r>
      <w:r w:rsidRPr="00931D06">
        <w:rPr>
          <w:bCs/>
          <w:szCs w:val="24"/>
        </w:rPr>
        <w:t xml:space="preserve"> jsou klientům k dispozici na </w:t>
      </w:r>
      <w:hyperlink r:id="rId15" w:tgtFrame="_blank" w:tooltip="http://www.kb.cz/psdeti" w:history="1">
        <w:r w:rsidRPr="00CE31AE">
          <w:rPr>
            <w:bCs/>
            <w:color w:val="0563C1"/>
            <w:szCs w:val="24"/>
            <w:u w:val="single"/>
          </w:rPr>
          <w:t>www.kb.cz/psdet</w:t>
        </w:r>
        <w:r w:rsidRPr="00CE31AE">
          <w:rPr>
            <w:bCs/>
            <w:color w:val="0563C1"/>
            <w:szCs w:val="24"/>
          </w:rPr>
          <w:t>i</w:t>
        </w:r>
      </w:hyperlink>
      <w:r w:rsidR="00CE31AE" w:rsidRPr="00CE31AE">
        <w:rPr>
          <w:bCs/>
          <w:szCs w:val="24"/>
        </w:rPr>
        <w:t>,</w:t>
      </w:r>
      <w:r w:rsidR="00CE31AE">
        <w:rPr>
          <w:bCs/>
          <w:color w:val="0563C1"/>
          <w:szCs w:val="24"/>
        </w:rPr>
        <w:t xml:space="preserve"> </w:t>
      </w:r>
      <w:hyperlink r:id="rId16" w:tgtFrame="_blank" w:tooltip="http://www.kb.cz/penzijko" w:history="1">
        <w:r w:rsidR="00CE31AE" w:rsidRPr="00CE31AE">
          <w:rPr>
            <w:bCs/>
            <w:color w:val="0563C1"/>
            <w:szCs w:val="24"/>
            <w:u w:val="single"/>
          </w:rPr>
          <w:t>www.kb.cz/penzijko</w:t>
        </w:r>
      </w:hyperlink>
      <w:r>
        <w:rPr>
          <w:bCs/>
          <w:szCs w:val="24"/>
        </w:rPr>
        <w:t>.</w:t>
      </w:r>
    </w:p>
    <w:p w14:paraId="04F29A5D" w14:textId="5C9A628E" w:rsidR="00131587" w:rsidRPr="00131587" w:rsidRDefault="00131587" w:rsidP="00F362AA">
      <w:pPr>
        <w:spacing w:before="200" w:after="0" w:line="260" w:lineRule="exact"/>
        <w:rPr>
          <w:bCs/>
        </w:rPr>
      </w:pPr>
      <w:r w:rsidRPr="00131587">
        <w:rPr>
          <w:bCs/>
        </w:rPr>
        <w:t>-----------</w:t>
      </w:r>
    </w:p>
    <w:p w14:paraId="64E4A920" w14:textId="6D496583" w:rsidR="00F362AA" w:rsidRPr="00131587" w:rsidRDefault="00F362AA" w:rsidP="00F362AA">
      <w:pPr>
        <w:spacing w:before="200" w:after="0" w:line="260" w:lineRule="exact"/>
        <w:rPr>
          <w:b/>
        </w:rPr>
      </w:pPr>
      <w:r w:rsidRPr="00131587">
        <w:rPr>
          <w:b/>
        </w:rPr>
        <w:t>O průzkumu:</w:t>
      </w:r>
      <w:r w:rsidRPr="00131587">
        <w:rPr>
          <w:b/>
        </w:rPr>
        <w:br/>
      </w:r>
      <w:r w:rsidRPr="00131587">
        <w:t>Průzkum Češi a penzijko KB Penzijní společnosti proběhl on-line za pomoci nástroje Instant Research výzkumné agentury Ipsos. Sběr dat probíhal v únoru 2022 a zúčastnilo se ho 1 050 respondent</w:t>
      </w:r>
      <w:r w:rsidR="00892E3A">
        <w:t>ů</w:t>
      </w:r>
      <w:r w:rsidRPr="00131587">
        <w:t xml:space="preserve"> v reprezentativním zastoupení podle pohlaví, věku, vzdělání, velikosti a místa bydliště.</w:t>
      </w:r>
    </w:p>
    <w:p w14:paraId="7AF429EB" w14:textId="77777777" w:rsidR="00131587" w:rsidRPr="00131587" w:rsidRDefault="00131587" w:rsidP="00131587">
      <w:pPr>
        <w:spacing w:before="200" w:after="0" w:line="260" w:lineRule="exact"/>
        <w:rPr>
          <w:rFonts w:cstheme="minorHAnsi"/>
        </w:rPr>
      </w:pPr>
      <w:r w:rsidRPr="00131587">
        <w:rPr>
          <w:b/>
        </w:rPr>
        <w:t>Upozornění:</w:t>
      </w:r>
      <w:r w:rsidRPr="00131587">
        <w:rPr>
          <w:rFonts w:cstheme="minorHAnsi"/>
          <w:b/>
          <w:bCs/>
        </w:rPr>
        <w:t xml:space="preserve"> </w:t>
      </w:r>
      <w:r w:rsidRPr="00131587">
        <w:t>Upozorňujeme, že s Doplňkovým penzijním spořením jsou spojena jistá rizika - hodnota investice není garantována a může kolísat v závislosti na vývoji trhu</w:t>
      </w:r>
      <w:r w:rsidRPr="00131587">
        <w:rPr>
          <w:sz w:val="20"/>
        </w:rPr>
        <w:t>.</w:t>
      </w:r>
    </w:p>
    <w:p w14:paraId="33391927" w14:textId="77777777" w:rsidR="00F362AA" w:rsidRDefault="00F362AA" w:rsidP="00F362AA">
      <w:pPr>
        <w:spacing w:before="200" w:after="0" w:line="260" w:lineRule="exact"/>
        <w:jc w:val="both"/>
        <w:rPr>
          <w:b/>
        </w:rPr>
      </w:pPr>
    </w:p>
    <w:p w14:paraId="3086AF8E" w14:textId="77777777" w:rsidR="00F362AA" w:rsidRPr="002A3A50" w:rsidRDefault="00F362AA" w:rsidP="00F362AA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3A09B1E1" w14:textId="77777777" w:rsidR="00F362AA" w:rsidRPr="00002425" w:rsidRDefault="00F362AA" w:rsidP="00F362AA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20F9CFAB" w14:textId="77777777" w:rsidR="00F362AA" w:rsidRPr="00002425" w:rsidRDefault="00F362AA" w:rsidP="00F362AA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2AA09F2D" w14:textId="77777777" w:rsidR="00F362AA" w:rsidRDefault="006A1094" w:rsidP="00F362AA">
      <w:pPr>
        <w:spacing w:after="0" w:line="260" w:lineRule="exact"/>
        <w:rPr>
          <w:rStyle w:val="Siln"/>
          <w:color w:val="FF0000"/>
        </w:rPr>
      </w:pPr>
      <w:hyperlink r:id="rId17" w:history="1">
        <w:r w:rsidR="00F362AA" w:rsidRPr="002466F2">
          <w:rPr>
            <w:rStyle w:val="Hypertextovodkaz"/>
            <w:color w:val="FF0000"/>
          </w:rPr>
          <w:t>pavel_zubek@kb.cz</w:t>
        </w:r>
      </w:hyperlink>
      <w:r w:rsidR="00F362AA" w:rsidRPr="002466F2">
        <w:rPr>
          <w:rStyle w:val="Siln"/>
          <w:color w:val="FF0000"/>
        </w:rPr>
        <w:t xml:space="preserve"> </w:t>
      </w:r>
    </w:p>
    <w:p w14:paraId="6F0742D5" w14:textId="77777777" w:rsidR="00F362AA" w:rsidRPr="00A203EF" w:rsidRDefault="00F362AA" w:rsidP="00F362AA">
      <w:pPr>
        <w:spacing w:after="0" w:line="260" w:lineRule="exact"/>
        <w:rPr>
          <w:rFonts w:cs="Times New Roman"/>
          <w:b/>
          <w:bCs/>
          <w:color w:val="FF0000"/>
        </w:rPr>
      </w:pPr>
    </w:p>
    <w:p w14:paraId="049BDC25" w14:textId="77777777" w:rsidR="00F362AA" w:rsidRPr="0094227B" w:rsidRDefault="00F362AA" w:rsidP="00F362AA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 xml:space="preserve">Veronika </w:t>
      </w:r>
      <w:r>
        <w:rPr>
          <w:b/>
        </w:rPr>
        <w:t>Ďuranová</w:t>
      </w:r>
    </w:p>
    <w:p w14:paraId="6A59272B" w14:textId="77777777" w:rsidR="00F362AA" w:rsidRPr="00650A90" w:rsidRDefault="00F362AA" w:rsidP="00F362AA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79409182" w14:textId="77777777" w:rsidR="00F362AA" w:rsidRPr="00650A90" w:rsidRDefault="00F362AA" w:rsidP="00F362AA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3D1B0FDA" w14:textId="77777777" w:rsidR="00F362AA" w:rsidRPr="009D7D39" w:rsidRDefault="006A1094" w:rsidP="00F362AA">
      <w:pPr>
        <w:spacing w:after="0" w:line="260" w:lineRule="exact"/>
        <w:rPr>
          <w:rStyle w:val="Hypertextovodkaz"/>
          <w:b/>
          <w:bCs/>
          <w:color w:val="FF0000"/>
        </w:rPr>
      </w:pPr>
      <w:hyperlink r:id="rId18" w:history="1">
        <w:r w:rsidR="00F362AA" w:rsidRPr="009D7D39">
          <w:rPr>
            <w:rStyle w:val="Hypertextovodkaz"/>
            <w:color w:val="FF0000"/>
          </w:rPr>
          <w:t>vduranova@kbps.cz</w:t>
        </w:r>
      </w:hyperlink>
    </w:p>
    <w:p w14:paraId="523C0020" w14:textId="77777777" w:rsidR="00F362AA" w:rsidRDefault="00F362AA" w:rsidP="00F362AA">
      <w:pPr>
        <w:pStyle w:val="Zkladnodstavec"/>
        <w:tabs>
          <w:tab w:val="left" w:pos="4080"/>
        </w:tabs>
        <w:spacing w:line="240" w:lineRule="auto"/>
      </w:pPr>
    </w:p>
    <w:p w14:paraId="62DDB4F9" w14:textId="77777777" w:rsidR="00F362AA" w:rsidRDefault="00F362AA" w:rsidP="00F362AA">
      <w:pPr>
        <w:pStyle w:val="Zkladnodstavec"/>
        <w:tabs>
          <w:tab w:val="left" w:pos="4080"/>
        </w:tabs>
        <w:spacing w:line="240" w:lineRule="auto"/>
      </w:pPr>
    </w:p>
    <w:p w14:paraId="21CE958D" w14:textId="77777777" w:rsidR="00F362AA" w:rsidRPr="00506E77" w:rsidRDefault="00F362AA" w:rsidP="006E3558">
      <w:pPr>
        <w:pStyle w:val="Zkladnodstavec"/>
        <w:tabs>
          <w:tab w:val="left" w:pos="4080"/>
        </w:tabs>
        <w:spacing w:line="240" w:lineRule="auto"/>
      </w:pPr>
    </w:p>
    <w:sectPr w:rsidR="00F362AA" w:rsidRPr="00506E77" w:rsidSect="005F4AE0">
      <w:headerReference w:type="default" r:id="rId19"/>
      <w:footerReference w:type="default" r:id="rId2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3728" w14:textId="77777777" w:rsidR="008A256D" w:rsidRDefault="008A256D" w:rsidP="00A84CE4">
      <w:pPr>
        <w:spacing w:after="0" w:line="240" w:lineRule="auto"/>
      </w:pPr>
      <w:r>
        <w:separator/>
      </w:r>
    </w:p>
  </w:endnote>
  <w:endnote w:type="continuationSeparator" w:id="0">
    <w:p w14:paraId="5F0CDC8E" w14:textId="77777777" w:rsidR="008A256D" w:rsidRDefault="008A256D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6" style="position:absolute;margin-left:379.5pt;margin-top:-3.7pt;width:90.55pt;height:20.15pt;z-index:251660288;mso-width-relative:margin;mso-height-relative:margin" coordsize="44494,9906" o:spid="_x0000_s1026" w14:anchorId="7FFA9B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cký objekt 17" style="position:absolute;width:9906;height:9906;visibility:visible;mso-wrap-style:square" href="http://www.linkedin.com/company/mojepenzijko" o:spid="_x0000_s1027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>
                <v:fill o:detectmouseclick="t"/>
                <v:imagedata o:title="" r:id="rId13"/>
              </v:shape>
              <v:shape id="Grafický objekt 18" style="position:absolute;left:11529;width:9906;height:9906;visibility:visible;mso-wrap-style:square" href="https://twitter.com/komercka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>
                <v:fill o:detectmouseclick="t"/>
                <v:imagedata o:title="" r:id="rId14"/>
              </v:shape>
              <v:shape id="Grafický objekt 19" style="position:absolute;left:23058;width:9906;height:9906;visibility:visible;mso-wrap-style:square" href="http://www.facebook.com/mojepenzijko" o:spid="_x0000_s1029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>
                <v:fill o:detectmouseclick="t"/>
                <v:imagedata o:title="" r:id="rId15"/>
              </v:shape>
              <v:shape id="Grafický objekt 20" style="position:absolute;left:34588;width:9906;height:9906;visibility:visible;mso-wrap-style:square" href="https://www.instagram.com/komercka/?hl=cs" o:spid="_x0000_s1030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>
                <v:fill o:detectmouseclick="t"/>
                <v:imagedata o:title="" r:id="rId16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57B2" w14:textId="77777777" w:rsidR="008A256D" w:rsidRDefault="008A256D" w:rsidP="00A84CE4">
      <w:pPr>
        <w:spacing w:after="0" w:line="240" w:lineRule="auto"/>
      </w:pPr>
      <w:r>
        <w:separator/>
      </w:r>
    </w:p>
  </w:footnote>
  <w:footnote w:type="continuationSeparator" w:id="0">
    <w:p w14:paraId="7C41034A" w14:textId="77777777" w:rsidR="008A256D" w:rsidRDefault="008A256D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03AEB"/>
    <w:rsid w:val="000312B7"/>
    <w:rsid w:val="00041204"/>
    <w:rsid w:val="00050399"/>
    <w:rsid w:val="00065EE1"/>
    <w:rsid w:val="00077790"/>
    <w:rsid w:val="000A3F4F"/>
    <w:rsid w:val="000C13FA"/>
    <w:rsid w:val="000D594C"/>
    <w:rsid w:val="000E4352"/>
    <w:rsid w:val="00125B92"/>
    <w:rsid w:val="0013110C"/>
    <w:rsid w:val="00131587"/>
    <w:rsid w:val="00187943"/>
    <w:rsid w:val="001A78AC"/>
    <w:rsid w:val="001B1672"/>
    <w:rsid w:val="001D0128"/>
    <w:rsid w:val="001D28A7"/>
    <w:rsid w:val="001D2D9F"/>
    <w:rsid w:val="001D7FCB"/>
    <w:rsid w:val="00223D72"/>
    <w:rsid w:val="002312B1"/>
    <w:rsid w:val="002604F2"/>
    <w:rsid w:val="00275EBC"/>
    <w:rsid w:val="00283C19"/>
    <w:rsid w:val="0028535D"/>
    <w:rsid w:val="00293442"/>
    <w:rsid w:val="002A6F9B"/>
    <w:rsid w:val="002C1000"/>
    <w:rsid w:val="002C2C3C"/>
    <w:rsid w:val="002F768C"/>
    <w:rsid w:val="00331EE2"/>
    <w:rsid w:val="00375A25"/>
    <w:rsid w:val="003A1CF2"/>
    <w:rsid w:val="003B443D"/>
    <w:rsid w:val="003B57FB"/>
    <w:rsid w:val="003C49D2"/>
    <w:rsid w:val="003E24D8"/>
    <w:rsid w:val="003F0A37"/>
    <w:rsid w:val="003F4747"/>
    <w:rsid w:val="0040279C"/>
    <w:rsid w:val="00410E15"/>
    <w:rsid w:val="00422452"/>
    <w:rsid w:val="00425D60"/>
    <w:rsid w:val="00427EE9"/>
    <w:rsid w:val="00443433"/>
    <w:rsid w:val="00443E8A"/>
    <w:rsid w:val="0045041C"/>
    <w:rsid w:val="00454F0F"/>
    <w:rsid w:val="00462932"/>
    <w:rsid w:val="00464403"/>
    <w:rsid w:val="00464800"/>
    <w:rsid w:val="00491170"/>
    <w:rsid w:val="004A1B26"/>
    <w:rsid w:val="004B2D18"/>
    <w:rsid w:val="004B3B66"/>
    <w:rsid w:val="004B5DE7"/>
    <w:rsid w:val="004D3052"/>
    <w:rsid w:val="004D4117"/>
    <w:rsid w:val="004E520C"/>
    <w:rsid w:val="00506E77"/>
    <w:rsid w:val="005320FC"/>
    <w:rsid w:val="00536196"/>
    <w:rsid w:val="005414FF"/>
    <w:rsid w:val="005454C1"/>
    <w:rsid w:val="005544E8"/>
    <w:rsid w:val="005934B6"/>
    <w:rsid w:val="005971AF"/>
    <w:rsid w:val="005A0D45"/>
    <w:rsid w:val="005A246C"/>
    <w:rsid w:val="005F4AE0"/>
    <w:rsid w:val="00605B5F"/>
    <w:rsid w:val="006105D0"/>
    <w:rsid w:val="0061684B"/>
    <w:rsid w:val="00637440"/>
    <w:rsid w:val="00650470"/>
    <w:rsid w:val="006658BF"/>
    <w:rsid w:val="006A1094"/>
    <w:rsid w:val="006E0E46"/>
    <w:rsid w:val="006E3558"/>
    <w:rsid w:val="00701918"/>
    <w:rsid w:val="007041CD"/>
    <w:rsid w:val="00711339"/>
    <w:rsid w:val="007142E1"/>
    <w:rsid w:val="00730091"/>
    <w:rsid w:val="00766C5E"/>
    <w:rsid w:val="007739B4"/>
    <w:rsid w:val="007859A6"/>
    <w:rsid w:val="007859B9"/>
    <w:rsid w:val="00796055"/>
    <w:rsid w:val="007E1AE9"/>
    <w:rsid w:val="007E5DE9"/>
    <w:rsid w:val="007F3148"/>
    <w:rsid w:val="00814EF1"/>
    <w:rsid w:val="008172B0"/>
    <w:rsid w:val="00824474"/>
    <w:rsid w:val="00827B10"/>
    <w:rsid w:val="008568C5"/>
    <w:rsid w:val="00892E3A"/>
    <w:rsid w:val="00895A4F"/>
    <w:rsid w:val="008A256D"/>
    <w:rsid w:val="008A2E6A"/>
    <w:rsid w:val="008A5E22"/>
    <w:rsid w:val="008B17DB"/>
    <w:rsid w:val="008C7BFE"/>
    <w:rsid w:val="008E2C69"/>
    <w:rsid w:val="00920FA8"/>
    <w:rsid w:val="00931D06"/>
    <w:rsid w:val="0094500E"/>
    <w:rsid w:val="00947F19"/>
    <w:rsid w:val="00973D10"/>
    <w:rsid w:val="00973DAA"/>
    <w:rsid w:val="00981220"/>
    <w:rsid w:val="00983459"/>
    <w:rsid w:val="009C5384"/>
    <w:rsid w:val="009C5FB2"/>
    <w:rsid w:val="00A2285B"/>
    <w:rsid w:val="00A43440"/>
    <w:rsid w:val="00A52CF6"/>
    <w:rsid w:val="00A7183F"/>
    <w:rsid w:val="00A729CE"/>
    <w:rsid w:val="00A7701F"/>
    <w:rsid w:val="00A84CE4"/>
    <w:rsid w:val="00A87F48"/>
    <w:rsid w:val="00AE3F5C"/>
    <w:rsid w:val="00B07377"/>
    <w:rsid w:val="00B137A0"/>
    <w:rsid w:val="00B13A13"/>
    <w:rsid w:val="00B1757D"/>
    <w:rsid w:val="00B24910"/>
    <w:rsid w:val="00B66FA0"/>
    <w:rsid w:val="00B70730"/>
    <w:rsid w:val="00B72BDB"/>
    <w:rsid w:val="00B94219"/>
    <w:rsid w:val="00BA32E5"/>
    <w:rsid w:val="00BA4948"/>
    <w:rsid w:val="00BC6A4E"/>
    <w:rsid w:val="00BD29D5"/>
    <w:rsid w:val="00BD308C"/>
    <w:rsid w:val="00BD589D"/>
    <w:rsid w:val="00BD7DAF"/>
    <w:rsid w:val="00C06F22"/>
    <w:rsid w:val="00C24F9D"/>
    <w:rsid w:val="00C316F8"/>
    <w:rsid w:val="00C75B8B"/>
    <w:rsid w:val="00C97361"/>
    <w:rsid w:val="00CA1056"/>
    <w:rsid w:val="00CB0BBD"/>
    <w:rsid w:val="00CE31AE"/>
    <w:rsid w:val="00CF099E"/>
    <w:rsid w:val="00CF26DC"/>
    <w:rsid w:val="00D0274B"/>
    <w:rsid w:val="00D1386E"/>
    <w:rsid w:val="00D20DB4"/>
    <w:rsid w:val="00D55698"/>
    <w:rsid w:val="00D66944"/>
    <w:rsid w:val="00D70B0E"/>
    <w:rsid w:val="00D71153"/>
    <w:rsid w:val="00D763CE"/>
    <w:rsid w:val="00D8317D"/>
    <w:rsid w:val="00DD38EF"/>
    <w:rsid w:val="00DE3BBD"/>
    <w:rsid w:val="00E05E80"/>
    <w:rsid w:val="00E13870"/>
    <w:rsid w:val="00E26709"/>
    <w:rsid w:val="00E273DF"/>
    <w:rsid w:val="00E33A39"/>
    <w:rsid w:val="00E36711"/>
    <w:rsid w:val="00E406A9"/>
    <w:rsid w:val="00E42518"/>
    <w:rsid w:val="00E559B5"/>
    <w:rsid w:val="00E720D4"/>
    <w:rsid w:val="00E7672E"/>
    <w:rsid w:val="00E83835"/>
    <w:rsid w:val="00E8630A"/>
    <w:rsid w:val="00EA3208"/>
    <w:rsid w:val="00ED4171"/>
    <w:rsid w:val="00ED7F98"/>
    <w:rsid w:val="00F20E7C"/>
    <w:rsid w:val="00F362AA"/>
    <w:rsid w:val="00F6408F"/>
    <w:rsid w:val="00F6736D"/>
    <w:rsid w:val="00F677AD"/>
    <w:rsid w:val="00FA7FC0"/>
    <w:rsid w:val="00FB0402"/>
    <w:rsid w:val="00FB70A5"/>
    <w:rsid w:val="00FC068B"/>
    <w:rsid w:val="00FC59C2"/>
    <w:rsid w:val="00FC73AC"/>
    <w:rsid w:val="00FD37ED"/>
    <w:rsid w:val="00FD64A3"/>
    <w:rsid w:val="00FF2769"/>
    <w:rsid w:val="00FF48DF"/>
    <w:rsid w:val="4CB22E70"/>
    <w:rsid w:val="563F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A2E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44E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table" w:styleId="Barevntabulkaseznamu7zvraznn4">
    <w:name w:val="List Table 7 Colorful Accent 4"/>
    <w:basedOn w:val="Normlntabulka"/>
    <w:uiPriority w:val="52"/>
    <w:rsid w:val="007859A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1">
    <w:name w:val="Styl1"/>
    <w:basedOn w:val="Normlntabulka"/>
    <w:uiPriority w:val="99"/>
    <w:rsid w:val="007859A6"/>
    <w:pPr>
      <w:spacing w:after="0" w:line="240" w:lineRule="auto"/>
    </w:pPr>
    <w:rPr>
      <w:b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b.cz/cs/obcane/sporeni/penzijni-sporeni/doplnkove-penzijni-sporeni" TargetMode="External"/><Relationship Id="rId18" Type="http://schemas.openxmlformats.org/officeDocument/2006/relationships/hyperlink" Target="mailto:vduranova@kbps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hyperlink" Target="mailto:pavel_zubek@kb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b.cz/penzijk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b.cz/psdet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b.cz/psdeti" TargetMode="External"/><Relationship Id="rId10" Type="http://schemas.openxmlformats.org/officeDocument/2006/relationships/hyperlink" Target="https://www.kb.cz/psdeti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b.cz/cs/obcane/sporeni/penzijni-sporeni/doplnkove-penzijni-sporeni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VSFS20.DS.KB.CZ\data\Obchodni\03_MARKETING\PR\2022\220799_d&#283;tsk&#233;%20DPS%20-%20ak&#269;n&#237;%20nab&#237;dka\gra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100" b="1">
                <a:effectLst/>
              </a:rPr>
              <a:t>Co vás motivuje</a:t>
            </a:r>
            <a:r>
              <a:rPr lang="cs-CZ" sz="1100" b="1" baseline="0">
                <a:effectLst/>
              </a:rPr>
              <a:t> k uzavření dětského Doplňkového penzijního spoření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716AEFA-DA1D-4978-BD1E-6012045294C5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7AF-4C69-9F80-B2AD8A3C781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3CF596C-1840-4DE3-9A94-94ECFB341B71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7AF-4C69-9F80-B2AD8A3C781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13AA4BB3-1903-4CE0-A70A-62CE06889079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7AF-4C69-9F80-B2AD8A3C781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782FA03E-828E-4482-916C-D5F9B60BE500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7AF-4C69-9F80-B2AD8A3C781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3C5DDF4-1537-4FC0-A92F-FFEB95FC4D6B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F7AF-4C69-9F80-B2AD8A3C781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81FC690-B41A-47D9-B825-E6511B3906A1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7AF-4C69-9F80-B2AD8A3C781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91C73C57-9F11-43DA-91DA-52497E9E5CB0}" type="VALUE">
                      <a:rPr lang="en-US"/>
                      <a:pPr/>
                      <a:t>[HODNOTA]</a:t>
                    </a:fld>
                    <a:r>
                      <a:rPr lang="en-US"/>
                      <a:t>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F7AF-4C69-9F80-B2AD8A3C78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Možnost volby investiční strategie</c:v>
                </c:pt>
                <c:pt idx="1">
                  <c:v>Dlouhodobost investice</c:v>
                </c:pt>
                <c:pt idx="2">
                  <c:v>Odměna za sjednání</c:v>
                </c:pt>
                <c:pt idx="3">
                  <c:v>Příspěvěk může posílat kdokoliv, tedy nejen rodiče</c:v>
                </c:pt>
                <c:pt idx="4">
                  <c:v>Možnost vybrat 1/3 prostředků v 18 letech dítěte</c:v>
                </c:pt>
                <c:pt idx="5">
                  <c:v>Vyšší zhodnocení než na spořícím účtu</c:v>
                </c:pt>
                <c:pt idx="6">
                  <c:v>Státní příspěvek</c:v>
                </c:pt>
              </c:strCache>
            </c:strRef>
          </c:cat>
          <c:val>
            <c:numRef>
              <c:f>List1!$B$2:$B$8</c:f>
              <c:numCache>
                <c:formatCode>0.0</c:formatCode>
                <c:ptCount val="7"/>
                <c:pt idx="0">
                  <c:v>7.7</c:v>
                </c:pt>
                <c:pt idx="1">
                  <c:v>16.899999999999999</c:v>
                </c:pt>
                <c:pt idx="2">
                  <c:v>18</c:v>
                </c:pt>
                <c:pt idx="3">
                  <c:v>25.7</c:v>
                </c:pt>
                <c:pt idx="4">
                  <c:v>32.799999999999997</c:v>
                </c:pt>
                <c:pt idx="5">
                  <c:v>38.700000000000003</c:v>
                </c:pt>
                <c:pt idx="6">
                  <c:v>46.4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7AF-4C69-9F80-B2AD8A3C7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5954256"/>
        <c:axId val="995949992"/>
      </c:barChart>
      <c:catAx>
        <c:axId val="995954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5949992"/>
        <c:crosses val="autoZero"/>
        <c:auto val="1"/>
        <c:lblAlgn val="ctr"/>
        <c:lblOffset val="100"/>
        <c:noMultiLvlLbl val="0"/>
      </c:catAx>
      <c:valAx>
        <c:axId val="995949992"/>
        <c:scaling>
          <c:orientation val="minMax"/>
        </c:scaling>
        <c:delete val="1"/>
        <c:axPos val="b"/>
        <c:numFmt formatCode="0.0" sourceLinked="1"/>
        <c:majorTickMark val="none"/>
        <c:minorTickMark val="none"/>
        <c:tickLblPos val="nextTo"/>
        <c:crossAx val="995954256"/>
        <c:crosses val="autoZero"/>
        <c:crossBetween val="between"/>
      </c:valAx>
      <c:spPr>
        <a:noFill/>
        <a:ln w="3175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A05329-315C-4E09-8187-71F9A87E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0418C-425A-4EC8-8CDB-76CB60674A36}">
  <ds:schemaRefs>
    <ds:schemaRef ds:uri="http://purl.org/dc/dcmitype/"/>
    <ds:schemaRef ds:uri="http://purl.org/dc/terms/"/>
    <ds:schemaRef ds:uri="http://schemas.microsoft.com/office/infopath/2007/PartnerControls"/>
    <ds:schemaRef ds:uri="8b8775cd-cb9a-4824-a228-d043804fb9c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65777e4e-9c65-48da-b9e4-8e2a74f419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E330A4-47C5-4984-8E6F-6293A79E46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9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3</cp:revision>
  <dcterms:created xsi:type="dcterms:W3CDTF">2022-07-19T09:43:00Z</dcterms:created>
  <dcterms:modified xsi:type="dcterms:W3CDTF">2022-07-19T09:51:00Z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2022-07-19T09:51:39Z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b6070595-8efe-460c-ae73-accec7321219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